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11E4" w14:textId="77777777" w:rsidR="004D1AC5" w:rsidRPr="004B538F" w:rsidRDefault="004D1AC5" w:rsidP="004D1AC5">
      <w:pPr>
        <w:jc w:val="center"/>
        <w:rPr>
          <w:rFonts w:ascii="Cambria" w:hAnsi="Cambria" w:cs="Arial"/>
          <w:sz w:val="22"/>
          <w:szCs w:val="22"/>
        </w:rPr>
      </w:pPr>
      <w:r w:rsidRPr="004B538F">
        <w:rPr>
          <w:rFonts w:ascii="Cambria" w:hAnsi="Cambria" w:cs="Arial"/>
          <w:sz w:val="22"/>
          <w:szCs w:val="22"/>
        </w:rPr>
        <w:t>Los Angeles Harbor College</w:t>
      </w:r>
    </w:p>
    <w:p w14:paraId="13CB2CA6" w14:textId="77777777" w:rsidR="004D1AC5" w:rsidRPr="004B538F" w:rsidRDefault="004D1AC5" w:rsidP="004D1AC5">
      <w:pPr>
        <w:jc w:val="center"/>
        <w:rPr>
          <w:rFonts w:ascii="Cambria" w:hAnsi="Cambria" w:cs="Arial"/>
          <w:sz w:val="22"/>
          <w:szCs w:val="22"/>
        </w:rPr>
      </w:pPr>
      <w:r w:rsidRPr="004B538F">
        <w:rPr>
          <w:rFonts w:ascii="Cambria" w:hAnsi="Cambria" w:cs="Arial"/>
          <w:sz w:val="22"/>
          <w:szCs w:val="22"/>
        </w:rPr>
        <w:t>Associate Degree Nursing Program</w:t>
      </w:r>
    </w:p>
    <w:p w14:paraId="747CA774" w14:textId="77777777" w:rsidR="004D1AC5" w:rsidRPr="004B538F" w:rsidRDefault="004D1AC5" w:rsidP="004D1AC5">
      <w:pPr>
        <w:jc w:val="center"/>
        <w:rPr>
          <w:rFonts w:ascii="Cambria" w:hAnsi="Cambria" w:cs="Arial"/>
          <w:b/>
        </w:rPr>
      </w:pPr>
    </w:p>
    <w:p w14:paraId="6D311475" w14:textId="77777777" w:rsidR="004D1AC5" w:rsidRPr="004B538F" w:rsidRDefault="004D1AC5" w:rsidP="004D1AC5">
      <w:pPr>
        <w:ind w:left="-144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B538F">
        <w:rPr>
          <w:rFonts w:ascii="Cambria" w:hAnsi="Cambria" w:cs="Arial"/>
          <w:b/>
          <w:sz w:val="22"/>
          <w:szCs w:val="22"/>
          <w:u w:val="single"/>
        </w:rPr>
        <w:t>Description:</w:t>
      </w:r>
    </w:p>
    <w:p w14:paraId="0EEACE82" w14:textId="77777777" w:rsidR="004D1AC5" w:rsidRPr="005C23B3" w:rsidRDefault="004D1AC5" w:rsidP="004D1AC5">
      <w:pPr>
        <w:outlineLvl w:val="0"/>
        <w:rPr>
          <w:i/>
        </w:rPr>
      </w:pPr>
      <w:bookmarkStart w:id="0" w:name="Unit1"/>
      <w:r w:rsidRPr="005C23B3">
        <w:rPr>
          <w:i/>
        </w:rPr>
        <w:t xml:space="preserve">Unit I </w:t>
      </w:r>
      <w:bookmarkEnd w:id="0"/>
      <w:r w:rsidRPr="005C23B3">
        <w:rPr>
          <w:i/>
        </w:rPr>
        <w:t>- Theoretical Concepts</w:t>
      </w:r>
      <w:r>
        <w:rPr>
          <w:i/>
        </w:rPr>
        <w:t xml:space="preserve"> and Principles of Mental Health Nursing, Therapeutic Relationships/Communication, Nursing Process, Legal and Ethical Issues, &amp; Culture</w:t>
      </w:r>
    </w:p>
    <w:p w14:paraId="61010A65" w14:textId="77777777" w:rsidR="004D1AC5" w:rsidRPr="005C23B3" w:rsidRDefault="004D1AC5" w:rsidP="004D1AC5">
      <w:pPr>
        <w:rPr>
          <w:b/>
        </w:rPr>
      </w:pPr>
      <w:r w:rsidRPr="005C23B3">
        <w:rPr>
          <w:b/>
        </w:rPr>
        <w:t xml:space="preserve">This </w:t>
      </w:r>
      <w:r>
        <w:rPr>
          <w:b/>
        </w:rPr>
        <w:t>unit</w:t>
      </w:r>
      <w:r w:rsidRPr="005C23B3">
        <w:rPr>
          <w:b/>
        </w:rPr>
        <w:t xml:space="preserve"> presents an introduction to psychiatric nursing and an analysis of the dominant conceptual models for psychiatric nursing practice. </w:t>
      </w:r>
      <w:r>
        <w:rPr>
          <w:b/>
        </w:rPr>
        <w:t>Student</w:t>
      </w:r>
      <w:r w:rsidRPr="005C23B3">
        <w:rPr>
          <w:b/>
        </w:rPr>
        <w:t xml:space="preserve"> nurses </w:t>
      </w:r>
      <w:r>
        <w:rPr>
          <w:b/>
        </w:rPr>
        <w:t xml:space="preserve">begin to explore and </w:t>
      </w:r>
      <w:r w:rsidRPr="005C23B3">
        <w:rPr>
          <w:b/>
        </w:rPr>
        <w:t>cultivate their own personal integration within that practice.  Critical thinking skills are emphasized and therapeutic communication strategies, developmental theories</w:t>
      </w:r>
      <w:r>
        <w:rPr>
          <w:b/>
        </w:rPr>
        <w:t>/therapies</w:t>
      </w:r>
      <w:r w:rsidRPr="005C23B3">
        <w:rPr>
          <w:b/>
        </w:rPr>
        <w:t xml:space="preserve"> and </w:t>
      </w:r>
      <w:r>
        <w:rPr>
          <w:b/>
        </w:rPr>
        <w:t>patient</w:t>
      </w:r>
      <w:r w:rsidRPr="005C23B3">
        <w:rPr>
          <w:b/>
        </w:rPr>
        <w:t xml:space="preserve"> assessment methodologies are presented.  A bio-psycho-social approach is used in examining principles of </w:t>
      </w:r>
      <w:r>
        <w:rPr>
          <w:b/>
        </w:rPr>
        <w:t>patient</w:t>
      </w:r>
      <w:r w:rsidRPr="005C23B3">
        <w:rPr>
          <w:b/>
        </w:rPr>
        <w:t xml:space="preserve"> </w:t>
      </w:r>
      <w:r>
        <w:rPr>
          <w:b/>
        </w:rPr>
        <w:t xml:space="preserve">centered </w:t>
      </w:r>
      <w:r w:rsidRPr="005C23B3">
        <w:rPr>
          <w:b/>
        </w:rPr>
        <w:t xml:space="preserve">care, the mental health-psychiatric illness continuum and </w:t>
      </w:r>
      <w:r>
        <w:rPr>
          <w:b/>
        </w:rPr>
        <w:t xml:space="preserve">the </w:t>
      </w:r>
      <w:r w:rsidRPr="005C23B3">
        <w:rPr>
          <w:b/>
        </w:rPr>
        <w:t xml:space="preserve">nursing </w:t>
      </w:r>
      <w:r>
        <w:rPr>
          <w:b/>
        </w:rPr>
        <w:t xml:space="preserve">process </w:t>
      </w:r>
      <w:r w:rsidRPr="005C23B3">
        <w:rPr>
          <w:b/>
        </w:rPr>
        <w:t>as related to psychiatric disorders. The psychobiological basis of behavior is reviewed</w:t>
      </w:r>
      <w:r>
        <w:rPr>
          <w:b/>
        </w:rPr>
        <w:t>.</w:t>
      </w:r>
      <w:r w:rsidRPr="005C23B3">
        <w:rPr>
          <w:b/>
        </w:rPr>
        <w:t xml:space="preserve">   </w:t>
      </w:r>
      <w:r w:rsidRPr="00205DF2">
        <w:rPr>
          <w:b/>
        </w:rPr>
        <w:t>The concepts of culture, ethnicity, worldview and cultural competency are applied to mental illness. The legal and ethical guidelines for safe practice are identified.</w:t>
      </w:r>
      <w:r w:rsidRPr="00205DF2">
        <w:t xml:space="preserve">  </w:t>
      </w:r>
      <w:r w:rsidRPr="005C23B3">
        <w:rPr>
          <w:b/>
        </w:rPr>
        <w:t>Additionally, the concept of neurotransmitters in relation to psychiatric illness and psychotropic medication are introduced.</w:t>
      </w:r>
    </w:p>
    <w:p w14:paraId="7FF8B53B" w14:textId="77777777" w:rsidR="004D1AC5" w:rsidRPr="004B538F" w:rsidRDefault="004D1AC5" w:rsidP="004D1AC5">
      <w:pPr>
        <w:rPr>
          <w:rFonts w:ascii="Cambria" w:hAnsi="Cambria" w:cs="Arial"/>
          <w:sz w:val="22"/>
          <w:szCs w:val="22"/>
        </w:rPr>
      </w:pPr>
    </w:p>
    <w:p w14:paraId="034D91E5" w14:textId="77777777" w:rsidR="004D1AC5" w:rsidRPr="004B538F" w:rsidRDefault="004D1AC5" w:rsidP="004D1AC5">
      <w:pPr>
        <w:rPr>
          <w:rFonts w:ascii="Cambria" w:hAnsi="Cambria" w:cs="Arial"/>
          <w:sz w:val="22"/>
          <w:szCs w:val="22"/>
        </w:rPr>
      </w:pPr>
      <w:r w:rsidRPr="004B538F">
        <w:rPr>
          <w:rFonts w:ascii="Cambria" w:hAnsi="Cambria" w:cs="Arial"/>
          <w:b/>
          <w:sz w:val="22"/>
          <w:szCs w:val="22"/>
        </w:rPr>
        <w:t>Estimated time of achievement</w:t>
      </w:r>
      <w:r w:rsidRPr="004B538F">
        <w:rPr>
          <w:rFonts w:ascii="Cambria" w:hAnsi="Cambria" w:cs="Arial"/>
          <w:sz w:val="22"/>
          <w:szCs w:val="22"/>
        </w:rPr>
        <w:t>: One</w:t>
      </w:r>
      <w:r>
        <w:rPr>
          <w:rFonts w:ascii="Cambria" w:hAnsi="Cambria" w:cs="Arial"/>
          <w:sz w:val="22"/>
          <w:szCs w:val="22"/>
        </w:rPr>
        <w:t xml:space="preserve"> week</w:t>
      </w:r>
      <w:r w:rsidRPr="004B538F">
        <w:rPr>
          <w:rFonts w:ascii="Cambria" w:hAnsi="Cambria" w:cs="Arial"/>
          <w:sz w:val="22"/>
          <w:szCs w:val="22"/>
        </w:rPr>
        <w:t>.</w:t>
      </w:r>
    </w:p>
    <w:p w14:paraId="51E2C29A" w14:textId="77777777" w:rsidR="004D1AC5" w:rsidRPr="004B538F" w:rsidRDefault="004D1AC5" w:rsidP="004D1AC5">
      <w:pPr>
        <w:rPr>
          <w:rFonts w:ascii="Cambria" w:hAnsi="Cambria" w:cs="Arial"/>
          <w:sz w:val="22"/>
          <w:szCs w:val="22"/>
        </w:rPr>
      </w:pPr>
    </w:p>
    <w:p w14:paraId="03506192" w14:textId="77777777" w:rsidR="004D1AC5" w:rsidRPr="004B538F" w:rsidRDefault="004D1AC5" w:rsidP="004D1AC5">
      <w:pPr>
        <w:rPr>
          <w:rFonts w:ascii="Cambria" w:hAnsi="Cambria" w:cs="Arial"/>
          <w:b/>
          <w:sz w:val="22"/>
          <w:szCs w:val="22"/>
        </w:rPr>
      </w:pPr>
      <w:r w:rsidRPr="004B538F">
        <w:rPr>
          <w:rFonts w:ascii="Cambria" w:hAnsi="Cambria" w:cs="Arial"/>
          <w:b/>
          <w:sz w:val="22"/>
          <w:szCs w:val="22"/>
        </w:rPr>
        <w:t xml:space="preserve">                              Objectives   </w:t>
      </w:r>
      <w:r w:rsidRPr="004B538F">
        <w:rPr>
          <w:rFonts w:ascii="Cambria" w:hAnsi="Cambria" w:cs="Arial"/>
          <w:b/>
          <w:sz w:val="22"/>
          <w:szCs w:val="22"/>
        </w:rPr>
        <w:tab/>
      </w:r>
      <w:r w:rsidRPr="004B538F">
        <w:rPr>
          <w:rFonts w:ascii="Cambria" w:hAnsi="Cambria" w:cs="Arial"/>
          <w:b/>
          <w:sz w:val="22"/>
          <w:szCs w:val="22"/>
        </w:rPr>
        <w:tab/>
      </w:r>
      <w:r w:rsidRPr="004B538F">
        <w:rPr>
          <w:rFonts w:ascii="Cambria" w:hAnsi="Cambria" w:cs="Arial"/>
          <w:b/>
          <w:sz w:val="22"/>
          <w:szCs w:val="22"/>
        </w:rPr>
        <w:tab/>
      </w:r>
      <w:r w:rsidRPr="004B538F">
        <w:rPr>
          <w:rFonts w:ascii="Cambria" w:hAnsi="Cambria" w:cs="Arial"/>
          <w:b/>
          <w:sz w:val="22"/>
          <w:szCs w:val="22"/>
        </w:rPr>
        <w:tab/>
        <w:t xml:space="preserve">                       Course Content                                                               Learning Activities</w:t>
      </w:r>
    </w:p>
    <w:tbl>
      <w:tblPr>
        <w:tblW w:w="1360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680"/>
        <w:gridCol w:w="3883"/>
      </w:tblGrid>
      <w:tr w:rsidR="004D1AC5" w:rsidRPr="004B538F" w14:paraId="0D0514D5" w14:textId="77777777" w:rsidTr="003A4463">
        <w:tc>
          <w:tcPr>
            <w:tcW w:w="5040" w:type="dxa"/>
          </w:tcPr>
          <w:p w14:paraId="3DBBDD6E" w14:textId="77777777" w:rsidR="004D1AC5" w:rsidRPr="004B538F" w:rsidRDefault="004D1AC5" w:rsidP="003A4463">
            <w:pPr>
              <w:ind w:left="90"/>
              <w:rPr>
                <w:rFonts w:ascii="Cambria" w:hAnsi="Cambria" w:cs="Arial"/>
                <w:sz w:val="22"/>
                <w:szCs w:val="22"/>
              </w:rPr>
            </w:pPr>
            <w:r w:rsidRPr="004B538F">
              <w:rPr>
                <w:rFonts w:ascii="Cambria" w:hAnsi="Cambria" w:cs="Arial"/>
                <w:sz w:val="22"/>
                <w:szCs w:val="22"/>
              </w:rPr>
              <w:t>After appropriate study of the assigned resources, and assigned practice of the psychomotor and communication skills, the nursing student will be able to:</w:t>
            </w:r>
          </w:p>
          <w:p w14:paraId="6B2A921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 w:rsidRPr="004B53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Distinguish the concepts of mental health and mental illness</w:t>
            </w:r>
            <w:r w:rsidRPr="004B538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and relate these concepts to a continuum.</w:t>
            </w:r>
          </w:p>
          <w:p w14:paraId="5B325D22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Explore the roles of resilience and stress as they relates to personal response to mental illness.</w:t>
            </w:r>
          </w:p>
          <w:p w14:paraId="362BBBCA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how culture influences the view of mental illness and behaviors associated with them.</w:t>
            </w:r>
          </w:p>
          <w:p w14:paraId="46D0177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Discuss the nature/nurture etiology of psychiatric disorders.</w:t>
            </w:r>
          </w:p>
          <w:p w14:paraId="38200279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Compare and contrast psychiatric disorders prevalence rates.</w:t>
            </w:r>
          </w:p>
          <w:p w14:paraId="3F0BAD2E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Distinguish the differences between the DSM-V diagnosis and the nursing process/diagnosis.</w:t>
            </w:r>
          </w:p>
          <w:p w14:paraId="3DFF93A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Explore services provided by electronic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health care.</w:t>
            </w:r>
          </w:p>
          <w:p w14:paraId="10D0549F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Describe advocacy opportunities for patient-centered care.</w:t>
            </w:r>
          </w:p>
          <w:p w14:paraId="234B2145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Discuss the purpose of the National Behavioral Health Safety Goals.</w:t>
            </w:r>
          </w:p>
          <w:p w14:paraId="14480ED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the role of the psychiatric nurse and the different populations served.</w:t>
            </w:r>
          </w:p>
          <w:p w14:paraId="2B6D04A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Distinguish reliable Internet resources for health information and evidence-based practice.</w:t>
            </w:r>
          </w:p>
          <w:p w14:paraId="10573768" w14:textId="77777777" w:rsidR="004D1AC5" w:rsidRPr="00587781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Explain how the multidisciplinary team collaborates to plan and implement care for the hospitalized client.</w:t>
            </w:r>
          </w:p>
          <w:p w14:paraId="7CF55CFB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Compare and contrast the major theories of personality:  psychoanalytic, interpersonal humanistic, behavioral and cognitive.</w:t>
            </w:r>
          </w:p>
          <w:p w14:paraId="6BFCFEF8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Utilize Maslow’s hierarchy of needs in prioritizing nursing diagnosis.</w:t>
            </w:r>
          </w:p>
          <w:p w14:paraId="63CE5E9C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Apply Erickson’s Eight Stages of Development in planning appropriate nursing interventions.</w:t>
            </w:r>
          </w:p>
          <w:p w14:paraId="7F1083E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Compare and contrast the major therapeutic modalities and their evidence-base for the psychiatric patient:  classical psychoanalysis, psychodynamic and psychoanalytic psychotherapy, short-term dynamic psychotherapy, interpersonal psychotherapy, cognitive therapy, and behavioral therapy.</w:t>
            </w:r>
          </w:p>
          <w:p w14:paraId="37A01639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Identify the implication of nursing theorist in mental health (Peplau, Roy). </w:t>
            </w:r>
          </w:p>
          <w:p w14:paraId="13814746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the components of milieu therapy and the nurse’s role in the milieu.</w:t>
            </w:r>
          </w:p>
          <w:p w14:paraId="6198159B" w14:textId="77777777" w:rsidR="004D1AC5" w:rsidRPr="00FE0A23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Explain the significance of evidence-based nursing practice.</w:t>
            </w:r>
          </w:p>
          <w:p w14:paraId="2281B899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Recognize and discuss the phenomenon and potential outcomes of transference and countertransference in the clinical setting.</w:t>
            </w:r>
          </w:p>
          <w:p w14:paraId="65937E8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Discuss major functions of the brain and how psychotropic drugs can alter these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functions.</w:t>
            </w:r>
          </w:p>
          <w:p w14:paraId="6669DCAE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Compare and contrast physiologic responses in the sympathetic and parasympathetic nervous systems.</w:t>
            </w:r>
          </w:p>
          <w:p w14:paraId="0643DEAC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the dysfunction of select neurotransmitters to their corresponding psychiatric conditions.</w:t>
            </w:r>
          </w:p>
          <w:p w14:paraId="74C22FB1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Describe how the use of imaging techniques can be helpful for understanding mental illness.</w:t>
            </w:r>
          </w:p>
          <w:p w14:paraId="58AC96E1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the main neurotransmitters that are affected by the following psychotropic drugs and their subgroups:  antianxiety, antidepressants, mood stabilizers, antipsychotics, sleep inducers, and herbal treatments.</w:t>
            </w:r>
          </w:p>
          <w:p w14:paraId="7025200F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Differentiate worldviews, values, and health practices of Western, Eastern, and Indigenous cultures.</w:t>
            </w:r>
          </w:p>
          <w:p w14:paraId="5B4BD5FC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Discuss potential problems of applying Western cultural values, belief systems and nonverbal communication patterns with various other cultures.</w:t>
            </w:r>
          </w:p>
          <w:p w14:paraId="075D0C2D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knowledge of barriers to quality mental health care (language, misinterpretation of symptoms, culture-bound syndromes).</w:t>
            </w:r>
          </w:p>
          <w:p w14:paraId="17A8D5D8" w14:textId="77777777" w:rsidR="008759F8" w:rsidRDefault="004D1AC5" w:rsidP="008759F8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Distinguish genetic variations that affect drug metabolism.</w:t>
            </w:r>
          </w:p>
          <w:p w14:paraId="43207B7D" w14:textId="77777777" w:rsidR="004D1AC5" w:rsidRPr="008759F8" w:rsidRDefault="004D1AC5" w:rsidP="008759F8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 w:rsidRPr="008759F8">
              <w:rPr>
                <w:rFonts w:ascii="Cambria" w:hAnsi="Cambria" w:cs="Arial"/>
                <w:sz w:val="22"/>
                <w:szCs w:val="22"/>
              </w:rPr>
              <w:t>Distinguish the criteria for voluntary versus involuntary psychiatric hospitalization.</w:t>
            </w:r>
          </w:p>
          <w:p w14:paraId="502E30D8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Discuss civil rights and patient rights in the psychiatric setting.</w:t>
            </w:r>
          </w:p>
          <w:p w14:paraId="17149E6C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Outline the criteria and steps taken when patient’s rights are denied in the inpatient setting.</w:t>
            </w:r>
          </w:p>
          <w:p w14:paraId="0D0E4172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Differentiate informed consent for psychotropic medication from court ordered psychotropic medication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administration (Riese criteria).</w:t>
            </w:r>
          </w:p>
          <w:p w14:paraId="76F16C55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additional criteria for patient confidentiality and disclosure in the acute psychiatric setting.</w:t>
            </w:r>
          </w:p>
          <w:p w14:paraId="26D5E261" w14:textId="77777777" w:rsidR="004D1AC5" w:rsidRPr="004E3BEC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knowledge of the duty to warn and protect third parties and the least restrictive alternative doctrine.</w:t>
            </w:r>
          </w:p>
          <w:p w14:paraId="765A737C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Explain the components of the mental status examination.</w:t>
            </w:r>
          </w:p>
          <w:p w14:paraId="070D4A7F" w14:textId="77777777" w:rsidR="008759F8" w:rsidRDefault="008759F8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Differentiate components of a social relationship and a therapeutic relationship.</w:t>
            </w:r>
          </w:p>
          <w:p w14:paraId="23EF93B9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Compare different techniques used in the assessment of children and adolescents.</w:t>
            </w:r>
          </w:p>
          <w:p w14:paraId="3902F2C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the importance of and demonstrate genuineness, empathy, positive regard, attending skills and a non-judgmental attitude in the therapeutic relationship.</w:t>
            </w:r>
          </w:p>
          <w:p w14:paraId="41289C93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nursing behaviors indicative of blurring of professional boundaries.</w:t>
            </w:r>
          </w:p>
          <w:p w14:paraId="4E0B9CE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Differentiate nursing responsibilities in the three phases of the nurse-patient relationship.</w:t>
            </w:r>
          </w:p>
          <w:p w14:paraId="2E8F1A2B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testing behaviors of the patient (shifts the focus of the nurse off the patient, tries to get the nurse to take care of him/her, makes sexual comments/advances) and plans for appropriate nursing responses.</w:t>
            </w:r>
          </w:p>
          <w:p w14:paraId="42EBABB4" w14:textId="77777777" w:rsidR="004D1AC5" w:rsidRDefault="008759F8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</w:t>
            </w:r>
            <w:r w:rsidR="004D1AC5">
              <w:rPr>
                <w:rFonts w:ascii="Cambria" w:hAnsi="Cambria" w:cs="Arial"/>
                <w:sz w:val="22"/>
                <w:szCs w:val="22"/>
              </w:rPr>
              <w:t xml:space="preserve"> techniques that promote a positive environment to begin a patient interview (setting, seating, introduction, and open-ended starting question).</w:t>
            </w:r>
          </w:p>
          <w:p w14:paraId="6626E830" w14:textId="77777777" w:rsidR="008759F8" w:rsidRPr="008759F8" w:rsidRDefault="008759F8" w:rsidP="008759F8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Demonstrate appropriate attending behaviors in the therapeutic relationship (eye contact, body language, physical orientation/distance, vocal qualities, verbal tracking).</w:t>
            </w:r>
          </w:p>
          <w:p w14:paraId="7DA6646F" w14:textId="77777777" w:rsidR="004D1AC5" w:rsidRPr="00245883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Distinguish tactics to avoid (arguing minimizing feelings, challenging, confrontation, praise, speculation of the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patient’s situation, question the patient about sensitive areas, trying to sell the patient on accepting treatment, join in on patient attacks, participate in criticism of another staff member).</w:t>
            </w:r>
          </w:p>
          <w:p w14:paraId="7367DED9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Distinguish cultural communication barriers and potential misconceptions due to cultural filters.</w:t>
            </w:r>
          </w:p>
          <w:p w14:paraId="72DD13A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Appraise common patient behaviors (crying, asking to keep a secret asks personal questions, leaves the interaction, admits to suicidal ideation, seeks to prolong the interview, gives the nurse a present) that may cause discomfort in the nurse and helpful responses by the nurse.</w:t>
            </w:r>
          </w:p>
          <w:p w14:paraId="2647F25E" w14:textId="77777777" w:rsidR="008759F8" w:rsidRDefault="008759F8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Identify therapeutic responses during patient interactions versus responses that block the therapeutic relationship.</w:t>
            </w:r>
          </w:p>
          <w:p w14:paraId="3129CE00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Relate the importance of clinical supervision to develop professional skills.</w:t>
            </w:r>
          </w:p>
          <w:p w14:paraId="2BD0A547" w14:textId="77777777" w:rsidR="004D1AC5" w:rsidRDefault="004D1AC5" w:rsidP="003A446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Evaluate the effectiveness of therapeutic techniques and obstructive techniques through the practice of process recordings.</w:t>
            </w:r>
          </w:p>
          <w:p w14:paraId="7E614F02" w14:textId="77777777" w:rsidR="004D1AC5" w:rsidRPr="009B6593" w:rsidRDefault="004D1AC5" w:rsidP="009B6593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Create alternative communication techniques when blocks to communication are identified.</w:t>
            </w:r>
          </w:p>
        </w:tc>
        <w:tc>
          <w:tcPr>
            <w:tcW w:w="4680" w:type="dxa"/>
          </w:tcPr>
          <w:p w14:paraId="76210519" w14:textId="77777777" w:rsidR="004D1AC5" w:rsidRDefault="004D1AC5" w:rsidP="003A4463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Mental Health and Mental Illness</w:t>
            </w:r>
          </w:p>
          <w:p w14:paraId="6BCD7635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Concepts of the mental health and illness continuum</w:t>
            </w:r>
          </w:p>
          <w:p w14:paraId="443CBF46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Epidemiology and prevalence rates</w:t>
            </w:r>
          </w:p>
          <w:p w14:paraId="6982A92F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Medical diagnosis versus nursing diagnosis</w:t>
            </w:r>
          </w:p>
          <w:p w14:paraId="54A15839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Nursing Interventions Classification (NIC)</w:t>
            </w:r>
          </w:p>
          <w:p w14:paraId="4CC26EFA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Nursing Outcomes Classification (NOC)</w:t>
            </w:r>
          </w:p>
          <w:p w14:paraId="5A2858B7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DSM-V</w:t>
            </w:r>
          </w:p>
          <w:p w14:paraId="58E053E6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Resilience</w:t>
            </w:r>
          </w:p>
          <w:p w14:paraId="30FF7C37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Diathesis-stress model</w:t>
            </w:r>
          </w:p>
          <w:p w14:paraId="544D25C4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Recovery model</w:t>
            </w:r>
          </w:p>
          <w:p w14:paraId="2EAEBD9A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Stigma</w:t>
            </w:r>
          </w:p>
          <w:p w14:paraId="00AC77EB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Electronic health care</w:t>
            </w:r>
          </w:p>
          <w:p w14:paraId="738123F9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Roles of the multidisciplinary team</w:t>
            </w:r>
          </w:p>
          <w:p w14:paraId="3C4DEABD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National Behavioral Safety Goals</w:t>
            </w:r>
          </w:p>
          <w:p w14:paraId="14332D9A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</w:p>
          <w:p w14:paraId="0A6937BA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</w:p>
          <w:p w14:paraId="018B98B1" w14:textId="77777777" w:rsidR="004D1AC5" w:rsidRDefault="004D1AC5" w:rsidP="003A4463">
            <w:pPr>
              <w:ind w:left="252" w:hanging="25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Theories and Therapies </w:t>
            </w:r>
          </w:p>
          <w:p w14:paraId="636D61AA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 w:rsidRPr="002349DE">
              <w:rPr>
                <w:rFonts w:ascii="Cambria" w:hAnsi="Cambria" w:cs="Arial"/>
                <w:sz w:val="22"/>
                <w:szCs w:val="22"/>
              </w:rPr>
              <w:t>Major theories of personality</w:t>
            </w:r>
          </w:p>
          <w:p w14:paraId="7648ACC5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Psychodynamic Theory</w:t>
            </w:r>
          </w:p>
          <w:p w14:paraId="5D18EA17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Interpersonal Theory</w:t>
            </w:r>
          </w:p>
          <w:p w14:paraId="1FD95D2F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Erickson’s Ego Theory</w:t>
            </w:r>
          </w:p>
          <w:p w14:paraId="70D88BF8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Humanistic Theories</w:t>
            </w:r>
          </w:p>
          <w:p w14:paraId="3E7E9644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Behavioral Theories</w:t>
            </w:r>
          </w:p>
          <w:p w14:paraId="19577B35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Cognitive Theories</w:t>
            </w:r>
          </w:p>
          <w:p w14:paraId="4C1E6530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Nursing Theories</w:t>
            </w:r>
          </w:p>
          <w:p w14:paraId="451CC079" w14:textId="77777777" w:rsidR="004D1AC5" w:rsidRPr="002349DE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Biological Theories</w:t>
            </w:r>
          </w:p>
          <w:p w14:paraId="7B10BA38" w14:textId="77777777" w:rsidR="004D1AC5" w:rsidRDefault="004D1AC5" w:rsidP="003A4463">
            <w:pPr>
              <w:ind w:left="252"/>
              <w:rPr>
                <w:rFonts w:ascii="Cambria" w:hAnsi="Cambria" w:cs="Arial"/>
                <w:sz w:val="22"/>
                <w:szCs w:val="22"/>
              </w:rPr>
            </w:pPr>
            <w:r w:rsidRPr="002349DE">
              <w:rPr>
                <w:rFonts w:ascii="Cambria" w:hAnsi="Cambria" w:cs="Arial"/>
                <w:sz w:val="22"/>
                <w:szCs w:val="22"/>
              </w:rPr>
              <w:t>Therapeutic approaches</w:t>
            </w:r>
          </w:p>
          <w:p w14:paraId="4BC4F57F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Psychoanalysis</w:t>
            </w:r>
          </w:p>
          <w:p w14:paraId="5E0AEC6A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Psychodynamic and Psychoanalytic psychotherapy</w:t>
            </w:r>
          </w:p>
          <w:p w14:paraId="641C9232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Short-term dynamic psychotherapy</w:t>
            </w:r>
          </w:p>
          <w:p w14:paraId="37217363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Interpersonal Psychotherapy</w:t>
            </w:r>
          </w:p>
          <w:p w14:paraId="19547409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Cognitive Therapy</w:t>
            </w:r>
          </w:p>
          <w:p w14:paraId="57F4334B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Behavioral Therapy</w:t>
            </w:r>
          </w:p>
          <w:p w14:paraId="4E609CA9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Systematic Desensitization</w:t>
            </w:r>
          </w:p>
          <w:p w14:paraId="6B66E61E" w14:textId="77777777" w:rsidR="004D1AC5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Milieu Therapy</w:t>
            </w:r>
          </w:p>
          <w:p w14:paraId="65970E39" w14:textId="77777777" w:rsidR="004D1AC5" w:rsidRPr="002349DE" w:rsidRDefault="004D1AC5" w:rsidP="003A4463">
            <w:pPr>
              <w:ind w:left="702"/>
              <w:rPr>
                <w:rFonts w:ascii="Cambria" w:hAnsi="Cambria" w:cs="Arial"/>
                <w:sz w:val="22"/>
                <w:szCs w:val="22"/>
              </w:rPr>
            </w:pPr>
          </w:p>
          <w:p w14:paraId="6F098E53" w14:textId="77777777" w:rsidR="004D1AC5" w:rsidRDefault="004D1AC5" w:rsidP="003A4463">
            <w:pPr>
              <w:tabs>
                <w:tab w:val="left" w:pos="0"/>
                <w:tab w:val="left" w:pos="334"/>
              </w:tabs>
              <w:ind w:hanging="18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Biological Basis for Understanding Psychotropic Drugs</w:t>
            </w:r>
          </w:p>
          <w:p w14:paraId="5CA5FC63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Structure and functions of the brain</w:t>
            </w:r>
          </w:p>
          <w:p w14:paraId="66D05414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Organization and function of the nervous system</w:t>
            </w:r>
          </w:p>
          <w:p w14:paraId="6136759B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Cellular composition of the brain (neurons, neurotransmitters, synapse, enzymes)</w:t>
            </w:r>
          </w:p>
          <w:p w14:paraId="014A9C32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Neurotransmitters (Dopamine, Serotonin, Norepinephrine, Histamine, GABA, Glutamate, Acetylcholine) and their association with mental health conditions</w:t>
            </w:r>
          </w:p>
          <w:p w14:paraId="2656D852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Brain imaging modalities (MRI, CT, PET, SPECT)</w:t>
            </w:r>
          </w:p>
          <w:p w14:paraId="6CB5976E" w14:textId="77777777" w:rsidR="004D1AC5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Pharmacogenetics</w:t>
            </w:r>
          </w:p>
          <w:p w14:paraId="0D7F53E8" w14:textId="77777777" w:rsidR="004D1AC5" w:rsidRPr="004D1B6F" w:rsidRDefault="004D1AC5" w:rsidP="003A4463">
            <w:pPr>
              <w:tabs>
                <w:tab w:val="left" w:pos="252"/>
                <w:tab w:val="left" w:pos="334"/>
              </w:tabs>
              <w:ind w:left="342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Antipsychotics</w:t>
            </w:r>
          </w:p>
          <w:p w14:paraId="68C2AD97" w14:textId="77777777" w:rsidR="004D1AC5" w:rsidRDefault="004D1AC5" w:rsidP="003A4463">
            <w:pPr>
              <w:tabs>
                <w:tab w:val="left" w:pos="252"/>
                <w:tab w:val="left" w:pos="702"/>
              </w:tabs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Typical Antipsychotics (first generation)</w:t>
            </w:r>
          </w:p>
          <w:p w14:paraId="0F8A708C" w14:textId="77777777" w:rsidR="004D1AC5" w:rsidRDefault="004D1AC5" w:rsidP="003A4463">
            <w:pPr>
              <w:tabs>
                <w:tab w:val="left" w:pos="252"/>
                <w:tab w:val="left" w:pos="702"/>
              </w:tabs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Atypical Antipsychotics</w:t>
            </w:r>
          </w:p>
          <w:p w14:paraId="4D0C538C" w14:textId="77777777" w:rsidR="004D1AC5" w:rsidRDefault="004D1AC5" w:rsidP="003A4463">
            <w:pPr>
              <w:tabs>
                <w:tab w:val="left" w:pos="252"/>
                <w:tab w:val="left" w:pos="702"/>
              </w:tabs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Third Generation Antipsychotics</w:t>
            </w:r>
          </w:p>
          <w:p w14:paraId="6CEDED89" w14:textId="77777777" w:rsidR="004D1AC5" w:rsidRPr="004D1B6F" w:rsidRDefault="004D1AC5" w:rsidP="003A4463">
            <w:pPr>
              <w:tabs>
                <w:tab w:val="left" w:pos="-18"/>
              </w:tabs>
              <w:ind w:firstLine="342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Mood Stabilizers</w:t>
            </w:r>
          </w:p>
          <w:p w14:paraId="7EBE8C23" w14:textId="77777777" w:rsidR="004D1AC5" w:rsidRPr="004D1B6F" w:rsidRDefault="004D1AC5" w:rsidP="003A4463">
            <w:pPr>
              <w:ind w:firstLine="342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Antidepressants</w:t>
            </w:r>
          </w:p>
          <w:p w14:paraId="6F132627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Tricyclic Antidepressants</w:t>
            </w:r>
          </w:p>
          <w:p w14:paraId="4CABA7B8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Selective Serotonin Reuptake Inhibitors</w:t>
            </w:r>
          </w:p>
          <w:p w14:paraId="704E19EE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Monoamine Oxidase Inhibitors</w:t>
            </w:r>
          </w:p>
          <w:p w14:paraId="7F45A25D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Serotonin-Norepinephrine Reuptake Inhibitors</w:t>
            </w:r>
          </w:p>
          <w:p w14:paraId="2D72C0FF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Norepinephrine Reuptake Inhibitors </w:t>
            </w:r>
          </w:p>
          <w:p w14:paraId="2662D02E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Serotonin Receptor Antagonists/Agonists</w:t>
            </w:r>
          </w:p>
          <w:p w14:paraId="37D92A83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Norepinephrine Dopamine Reuptake Inhibitor</w:t>
            </w:r>
          </w:p>
          <w:p w14:paraId="2140A71A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Serotonin-Norepinephrine Disinhibitors</w:t>
            </w:r>
          </w:p>
          <w:p w14:paraId="48575D2C" w14:textId="77777777" w:rsidR="004D1AC5" w:rsidRDefault="004D1AC5" w:rsidP="003A4463">
            <w:pPr>
              <w:ind w:left="6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Other Antidepressants</w:t>
            </w:r>
          </w:p>
          <w:p w14:paraId="5A9E3AD2" w14:textId="77777777" w:rsidR="004D1AC5" w:rsidRPr="004D1B6F" w:rsidRDefault="004D1AC5" w:rsidP="003A4463">
            <w:pPr>
              <w:ind w:left="342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Benzodiazepines</w:t>
            </w:r>
          </w:p>
          <w:p w14:paraId="03438254" w14:textId="77777777" w:rsidR="004D1AC5" w:rsidRPr="004D1B6F" w:rsidRDefault="004D1AC5" w:rsidP="003A4463">
            <w:pPr>
              <w:ind w:left="612" w:hanging="270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Sedative/Hypnotics</w:t>
            </w:r>
          </w:p>
          <w:p w14:paraId="4FEB838B" w14:textId="77777777" w:rsidR="004D1AC5" w:rsidRPr="004D1B6F" w:rsidRDefault="004D1AC5" w:rsidP="003A4463">
            <w:pPr>
              <w:ind w:left="612" w:hanging="270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Melatonin Receptor Agonist</w:t>
            </w:r>
          </w:p>
          <w:p w14:paraId="192239BA" w14:textId="77777777" w:rsidR="004D1AC5" w:rsidRPr="004D1B6F" w:rsidRDefault="004D1AC5" w:rsidP="003A4463">
            <w:pPr>
              <w:ind w:left="72" w:firstLine="270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Other Anxiolytics (non-benzodiazepines)</w:t>
            </w:r>
          </w:p>
          <w:p w14:paraId="510D50F6" w14:textId="77777777" w:rsidR="004D1AC5" w:rsidRPr="004D1B6F" w:rsidRDefault="004D1AC5" w:rsidP="003A4463">
            <w:pPr>
              <w:ind w:left="72" w:firstLine="270"/>
              <w:rPr>
                <w:rFonts w:ascii="Cambria" w:hAnsi="Cambria" w:cs="Arial"/>
                <w:i/>
                <w:sz w:val="22"/>
                <w:szCs w:val="22"/>
              </w:rPr>
            </w:pPr>
            <w:r w:rsidRPr="004D1B6F">
              <w:rPr>
                <w:rFonts w:ascii="Cambria" w:hAnsi="Cambria" w:cs="Arial"/>
                <w:i/>
                <w:sz w:val="22"/>
                <w:szCs w:val="22"/>
              </w:rPr>
              <w:t>Herbal Medicines</w:t>
            </w:r>
          </w:p>
          <w:p w14:paraId="06E7D6A5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St. John’s wort</w:t>
            </w:r>
          </w:p>
          <w:p w14:paraId="0722334A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SAMe</w:t>
            </w:r>
          </w:p>
          <w:p w14:paraId="46164BF7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Kava kava</w:t>
            </w:r>
          </w:p>
          <w:p w14:paraId="606D1167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Ginko biloba</w:t>
            </w:r>
          </w:p>
          <w:p w14:paraId="534191FB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Ginseng</w:t>
            </w:r>
          </w:p>
          <w:p w14:paraId="158A23CD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Feverfew</w:t>
            </w:r>
          </w:p>
          <w:p w14:paraId="6F8C2C3D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Garlic</w:t>
            </w:r>
          </w:p>
          <w:p w14:paraId="6F8A05E9" w14:textId="77777777" w:rsidR="004D1AC5" w:rsidRDefault="004D1AC5" w:rsidP="003A4463">
            <w:pPr>
              <w:ind w:left="72" w:firstLine="540"/>
              <w:rPr>
                <w:rFonts w:ascii="Cambria" w:hAnsi="Cambria" w:cs="Arial"/>
                <w:sz w:val="22"/>
                <w:szCs w:val="22"/>
              </w:rPr>
            </w:pPr>
          </w:p>
          <w:p w14:paraId="1D11AF43" w14:textId="77777777" w:rsidR="004D1AC5" w:rsidRPr="00CD1394" w:rsidRDefault="004D1AC5" w:rsidP="003A4463">
            <w:pPr>
              <w:ind w:left="72"/>
              <w:rPr>
                <w:rFonts w:ascii="Cambria" w:hAnsi="Cambria" w:cs="Arial"/>
                <w:b/>
                <w:sz w:val="22"/>
                <w:szCs w:val="22"/>
              </w:rPr>
            </w:pPr>
            <w:r w:rsidRPr="00CD1394">
              <w:rPr>
                <w:rFonts w:ascii="Cambria" w:hAnsi="Cambria" w:cs="Arial"/>
                <w:b/>
                <w:sz w:val="22"/>
                <w:szCs w:val="22"/>
              </w:rPr>
              <w:t xml:space="preserve">Cultural Implications for Psychiatric Mental Health Nursing </w:t>
            </w:r>
          </w:p>
          <w:p w14:paraId="4A7D5B4E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 w:rsidRPr="00117838">
              <w:rPr>
                <w:rFonts w:ascii="Cambria" w:hAnsi="Cambria" w:cs="Arial"/>
                <w:sz w:val="22"/>
                <w:szCs w:val="22"/>
              </w:rPr>
              <w:t>Worldviews and mental health nursing</w:t>
            </w:r>
          </w:p>
          <w:p w14:paraId="4624A17E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Nonverbal communication patterns Cultural belief and value systems</w:t>
            </w:r>
          </w:p>
          <w:p w14:paraId="065436AB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Culture-Bound Syndromes</w:t>
            </w:r>
          </w:p>
          <w:p w14:paraId="67C1F411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Ethnic variation in pharmacodynamics</w:t>
            </w:r>
          </w:p>
          <w:p w14:paraId="16BD27FD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Barriers to quality mental health services</w:t>
            </w:r>
          </w:p>
          <w:p w14:paraId="71B3D964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Cultural competence</w:t>
            </w:r>
          </w:p>
          <w:p w14:paraId="1BA7D248" w14:textId="77777777" w:rsidR="004D1AC5" w:rsidRDefault="004D1AC5" w:rsidP="003A446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980443">
              <w:rPr>
                <w:rFonts w:ascii="Cambria" w:hAnsi="Cambria" w:cs="Arial"/>
                <w:b/>
                <w:sz w:val="22"/>
                <w:szCs w:val="22"/>
              </w:rPr>
              <w:t xml:space="preserve">Legal and Ethical Guidelines </w:t>
            </w:r>
          </w:p>
          <w:p w14:paraId="103ADEDD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Admission criteria (voluntary versus mental health holds)</w:t>
            </w:r>
          </w:p>
          <w:p w14:paraId="3D847B6F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Patient rights </w:t>
            </w:r>
          </w:p>
          <w:p w14:paraId="1E801F2D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Competency</w:t>
            </w:r>
          </w:p>
          <w:p w14:paraId="3438D09F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Psychotropic medication consent</w:t>
            </w:r>
          </w:p>
          <w:p w14:paraId="02A84459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Riese hearings</w:t>
            </w:r>
          </w:p>
          <w:p w14:paraId="0C52C2FB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Writ of Habeas Corpus</w:t>
            </w:r>
          </w:p>
          <w:p w14:paraId="5E0ED6F3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Confidentiality in the mental health setting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(HIPPA)</w:t>
            </w:r>
          </w:p>
          <w:p w14:paraId="7A5908D9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Least restrictive alternative doctrine</w:t>
            </w:r>
          </w:p>
          <w:p w14:paraId="44B562EB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Duty to warn and protect third parties </w:t>
            </w:r>
          </w:p>
          <w:p w14:paraId="7DA0B566" w14:textId="77777777" w:rsidR="004D1AC5" w:rsidRDefault="004D1AC5" w:rsidP="003A4463">
            <w:pPr>
              <w:ind w:left="72"/>
              <w:rPr>
                <w:rFonts w:ascii="Cambria" w:hAnsi="Cambria" w:cs="Arial"/>
                <w:sz w:val="22"/>
                <w:szCs w:val="22"/>
              </w:rPr>
            </w:pPr>
          </w:p>
          <w:p w14:paraId="195BF6B4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814198D" w14:textId="77777777" w:rsidR="004D1AC5" w:rsidRDefault="004D1AC5" w:rsidP="003A446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23D36">
              <w:rPr>
                <w:rFonts w:ascii="Cambria" w:hAnsi="Cambria" w:cs="Arial"/>
                <w:b/>
                <w:sz w:val="22"/>
                <w:szCs w:val="22"/>
              </w:rPr>
              <w:t>Assessment Strategies and the Nursing Process</w:t>
            </w:r>
          </w:p>
          <w:p w14:paraId="36251EF9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Mental Status Examination</w:t>
            </w:r>
          </w:p>
          <w:p w14:paraId="49220DE6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Assessment of children and adolescents</w:t>
            </w:r>
          </w:p>
          <w:p w14:paraId="3A7C096C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HEADSSS Psychosocial Interview Technique</w:t>
            </w:r>
          </w:p>
          <w:p w14:paraId="4382380B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5ACE698" w14:textId="77777777" w:rsidR="004D1AC5" w:rsidRDefault="004D1AC5" w:rsidP="003A446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76CE5">
              <w:rPr>
                <w:rFonts w:ascii="Cambria" w:hAnsi="Cambria" w:cs="Arial"/>
                <w:b/>
                <w:sz w:val="22"/>
                <w:szCs w:val="22"/>
              </w:rPr>
              <w:t>Developing Therapeutic Relationships</w:t>
            </w:r>
          </w:p>
          <w:p w14:paraId="051744F1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 w:rsidRPr="009E2749">
              <w:rPr>
                <w:rFonts w:ascii="Cambria" w:hAnsi="Cambria" w:cs="Arial"/>
                <w:sz w:val="22"/>
                <w:szCs w:val="22"/>
              </w:rPr>
              <w:t>Factors that enhance the therapeutic relationship (genuineness, empathy, positive regard, attending, suspending value judgments)</w:t>
            </w:r>
          </w:p>
          <w:p w14:paraId="68BC7E6E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Establishing boundaries (overhelping, controlling, countertransference, transference, self-disclosure.)</w:t>
            </w:r>
          </w:p>
          <w:p w14:paraId="224B3A99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Phases of the nurse-patient relationship</w:t>
            </w:r>
          </w:p>
          <w:p w14:paraId="3B13C3FE" w14:textId="77777777" w:rsidR="004D1AC5" w:rsidRPr="009E2749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Testing behaviors used by patients</w:t>
            </w:r>
          </w:p>
          <w:p w14:paraId="0052BAE6" w14:textId="77777777" w:rsidR="004D1AC5" w:rsidRPr="00576C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0D8B1F2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42F40B9" w14:textId="77777777" w:rsidR="004D1AC5" w:rsidRDefault="004D1AC5" w:rsidP="003A446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576CE5">
              <w:rPr>
                <w:rFonts w:ascii="Cambria" w:hAnsi="Cambria" w:cs="Arial"/>
                <w:b/>
                <w:sz w:val="22"/>
                <w:szCs w:val="22"/>
              </w:rPr>
              <w:t>Clinical Interview and Communication Skills</w:t>
            </w:r>
          </w:p>
          <w:p w14:paraId="73D2B6B5" w14:textId="77777777" w:rsidR="004D1AC5" w:rsidRPr="005B4863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 w:rsidRPr="005B4863">
              <w:rPr>
                <w:rFonts w:ascii="Cambria" w:hAnsi="Cambria" w:cs="Arial"/>
                <w:sz w:val="22"/>
                <w:szCs w:val="22"/>
              </w:rPr>
              <w:t>How to start an interview</w:t>
            </w:r>
          </w:p>
          <w:p w14:paraId="75B8376F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Clinical supervision </w:t>
            </w:r>
          </w:p>
          <w:p w14:paraId="37339CEE" w14:textId="77777777" w:rsidR="004D1AC5" w:rsidRPr="009E2749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Process Recordings</w:t>
            </w:r>
          </w:p>
          <w:p w14:paraId="521816D3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Attending Behaviors (eye contact, body language, physical orientation/distance, vocal qualities, verbal tracking)</w:t>
            </w:r>
          </w:p>
          <w:p w14:paraId="0130779F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Cultural Communication Barriers (eye contact, touch, cultural filters)</w:t>
            </w:r>
          </w:p>
          <w:p w14:paraId="3B69AF82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Common patient behaviors and useful nursing responses</w:t>
            </w:r>
          </w:p>
          <w:p w14:paraId="607ED02A" w14:textId="77777777" w:rsidR="004D1AC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Effective therapeutic communication techniques</w:t>
            </w:r>
          </w:p>
          <w:p w14:paraId="7C04BA90" w14:textId="77777777" w:rsidR="004D1AC5" w:rsidRPr="00576CE5" w:rsidRDefault="004D1AC5" w:rsidP="003A4463">
            <w:pPr>
              <w:ind w:left="3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Obstructive (blocking) nontherapeutic communication techniques</w:t>
            </w:r>
          </w:p>
          <w:p w14:paraId="5C762850" w14:textId="77777777" w:rsidR="004D1AC5" w:rsidRDefault="004D1AC5" w:rsidP="003A4463">
            <w:pPr>
              <w:ind w:left="72"/>
              <w:rPr>
                <w:rFonts w:ascii="Cambria" w:hAnsi="Cambria" w:cs="Arial"/>
                <w:sz w:val="22"/>
                <w:szCs w:val="22"/>
              </w:rPr>
            </w:pPr>
          </w:p>
          <w:p w14:paraId="3BF56499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0210BC3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ECD0AF0" w14:textId="77777777" w:rsidR="004D1AC5" w:rsidRPr="004B538F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B295D86" w14:textId="77777777" w:rsidR="004D1AC5" w:rsidRPr="004B538F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4B538F">
              <w:rPr>
                <w:rFonts w:ascii="Cambria" w:hAnsi="Cambria" w:cs="Arial"/>
                <w:sz w:val="22"/>
                <w:szCs w:val="22"/>
              </w:rPr>
              <w:t xml:space="preserve">         </w:t>
            </w:r>
          </w:p>
          <w:p w14:paraId="3CF5AA55" w14:textId="77777777" w:rsidR="004D1AC5" w:rsidRPr="004B538F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14:paraId="379451C0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Reading: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F46A61">
              <w:rPr>
                <w:rFonts w:ascii="Cambria" w:hAnsi="Cambria" w:cs="Arial"/>
                <w:sz w:val="22"/>
                <w:szCs w:val="22"/>
                <w:u w:val="single"/>
              </w:rPr>
              <w:t>Varcarolis’ F</w:t>
            </w:r>
            <w:r w:rsidRPr="00AE55E5">
              <w:rPr>
                <w:rFonts w:ascii="Cambria" w:hAnsi="Cambria" w:cs="Arial"/>
                <w:sz w:val="22"/>
                <w:szCs w:val="22"/>
                <w:u w:val="single"/>
              </w:rPr>
              <w:t xml:space="preserve">oundations of Psychiatric Mental Health Nursing, </w:t>
            </w:r>
            <w:r>
              <w:rPr>
                <w:rFonts w:ascii="Cambria" w:hAnsi="Cambria" w:cs="Arial"/>
                <w:sz w:val="22"/>
                <w:szCs w:val="22"/>
                <w:u w:val="single"/>
              </w:rPr>
              <w:t>7</w:t>
            </w:r>
            <w:r w:rsidRPr="00AE55E5">
              <w:rPr>
                <w:rFonts w:ascii="Cambria" w:hAnsi="Cambria" w:cs="Arial"/>
                <w:sz w:val="22"/>
                <w:szCs w:val="22"/>
                <w:u w:val="single"/>
                <w:vertAlign w:val="superscript"/>
              </w:rPr>
              <w:t>h</w:t>
            </w:r>
            <w:r w:rsidRPr="00AE55E5">
              <w:rPr>
                <w:rFonts w:ascii="Cambria" w:hAnsi="Cambria" w:cs="Arial"/>
                <w:sz w:val="22"/>
                <w:szCs w:val="22"/>
                <w:u w:val="single"/>
              </w:rPr>
              <w:t xml:space="preserve"> Ed.</w:t>
            </w:r>
          </w:p>
          <w:p w14:paraId="5011088B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Chapters:</w:t>
            </w:r>
          </w:p>
          <w:p w14:paraId="38819583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1: Mental Health and Mental Illness</w:t>
            </w:r>
          </w:p>
          <w:p w14:paraId="5E519456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2: Relevant Theories and Therapies for Nursing Practice</w:t>
            </w:r>
          </w:p>
          <w:p w14:paraId="7AB48799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 xml:space="preserve">3: Biologic Basis for </w:t>
            </w:r>
            <w:r>
              <w:rPr>
                <w:rFonts w:ascii="Cambria" w:hAnsi="Cambria" w:cs="Arial"/>
                <w:sz w:val="22"/>
                <w:szCs w:val="22"/>
              </w:rPr>
              <w:t>Understanding Psychotropic Disorders and Treatments (p 37-52)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7AC2E90C" w14:textId="77777777" w:rsidR="004D1AC5" w:rsidRPr="00AE55E5" w:rsidRDefault="004D1AC5" w:rsidP="003A4463">
            <w:pPr>
              <w:tabs>
                <w:tab w:val="left" w:pos="3672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:  </w:t>
            </w:r>
            <w:r>
              <w:rPr>
                <w:rFonts w:ascii="Cambria" w:hAnsi="Cambria" w:cs="Arial"/>
                <w:sz w:val="22"/>
                <w:szCs w:val="22"/>
              </w:rPr>
              <w:t>Cultural Implications for Psychiatric Mental Health Nursing</w:t>
            </w:r>
          </w:p>
          <w:p w14:paraId="227363ED" w14:textId="77777777" w:rsidR="004D1AC5" w:rsidRDefault="004D1AC5" w:rsidP="003A4463">
            <w:pPr>
              <w:tabs>
                <w:tab w:val="left" w:pos="3672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:  </w:t>
            </w:r>
            <w:r>
              <w:rPr>
                <w:rFonts w:ascii="Cambria" w:hAnsi="Cambria" w:cs="Arial"/>
                <w:sz w:val="22"/>
                <w:szCs w:val="22"/>
              </w:rPr>
              <w:t>Legal and Ethical Guidelines for Safe Practice</w:t>
            </w:r>
          </w:p>
          <w:p w14:paraId="3FCD4A99" w14:textId="77777777" w:rsidR="004D1AC5" w:rsidRPr="00AE55E5" w:rsidRDefault="004D1AC5" w:rsidP="003A4463">
            <w:pPr>
              <w:tabs>
                <w:tab w:val="left" w:pos="3672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7: The Nursing Process and Standards of Care for Psychiatric Mental Health Nursing</w:t>
            </w:r>
          </w:p>
          <w:p w14:paraId="41B39EB5" w14:textId="77777777" w:rsidR="004D1AC5" w:rsidRPr="00AE55E5" w:rsidRDefault="004D1AC5" w:rsidP="003A4463">
            <w:pPr>
              <w:tabs>
                <w:tab w:val="left" w:pos="3672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  <w:r w:rsidRPr="00AE55E5">
              <w:rPr>
                <w:rFonts w:ascii="Cambria" w:hAnsi="Cambria" w:cs="Arial"/>
                <w:sz w:val="22"/>
                <w:szCs w:val="22"/>
              </w:rPr>
              <w:t>:  Therapeutic Relationships</w:t>
            </w:r>
          </w:p>
          <w:p w14:paraId="22DC5867" w14:textId="77777777" w:rsidR="004D1AC5" w:rsidRPr="00AE55E5" w:rsidRDefault="004D1AC5" w:rsidP="003A4463">
            <w:pPr>
              <w:tabs>
                <w:tab w:val="left" w:pos="3672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>
              <w:rPr>
                <w:rFonts w:ascii="Cambria" w:hAnsi="Cambria" w:cs="Arial"/>
                <w:sz w:val="22"/>
                <w:szCs w:val="22"/>
              </w:rPr>
              <w:t xml:space="preserve">Communication and the Clinical </w:t>
            </w:r>
          </w:p>
          <w:p w14:paraId="7A38284D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Discussion/Lecture</w:t>
            </w:r>
          </w:p>
          <w:p w14:paraId="576F1DB6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CD3C62D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3669E3D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Clinical Experiences</w:t>
            </w:r>
          </w:p>
          <w:p w14:paraId="52D16798" w14:textId="77777777" w:rsidR="004D1AC5" w:rsidRPr="00AE55E5" w:rsidRDefault="004D1AC5" w:rsidP="003A4463">
            <w:pPr>
              <w:ind w:left="252" w:hanging="9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Prep/Pathophysiology Sheets</w:t>
            </w:r>
          </w:p>
          <w:p w14:paraId="46801F77" w14:textId="77777777" w:rsidR="004D1AC5" w:rsidRPr="00AE55E5" w:rsidRDefault="004D1AC5" w:rsidP="003A4463">
            <w:pPr>
              <w:ind w:left="252" w:hanging="90"/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Daily Charting</w:t>
            </w:r>
          </w:p>
          <w:p w14:paraId="3C43EBA0" w14:textId="77777777" w:rsidR="004D1AC5" w:rsidRPr="00AE55E5" w:rsidRDefault="004D1AC5" w:rsidP="003A4463">
            <w:pPr>
              <w:ind w:left="252" w:hanging="90"/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Mental Status Assessment</w:t>
            </w:r>
          </w:p>
          <w:p w14:paraId="14B33956" w14:textId="77777777" w:rsidR="004D1AC5" w:rsidRPr="00AE55E5" w:rsidRDefault="004D1AC5" w:rsidP="003A4463">
            <w:pPr>
              <w:ind w:left="252" w:hanging="90"/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>Process Recordings</w:t>
            </w:r>
          </w:p>
          <w:p w14:paraId="3AAB5469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 xml:space="preserve">    History and Assessments </w:t>
            </w:r>
          </w:p>
          <w:p w14:paraId="59D21483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AE55E5">
              <w:rPr>
                <w:rFonts w:ascii="Cambria" w:hAnsi="Cambria" w:cs="Arial"/>
                <w:sz w:val="22"/>
                <w:szCs w:val="22"/>
              </w:rPr>
              <w:t xml:space="preserve">    Nursing Care Plans</w:t>
            </w:r>
          </w:p>
          <w:p w14:paraId="6B69D3A8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Client Interaction</w:t>
            </w:r>
          </w:p>
          <w:p w14:paraId="55E9CDB7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585BEB9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Simulated Experience</w:t>
            </w:r>
          </w:p>
          <w:p w14:paraId="76F27F7E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011FF21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Online Student Resources:</w:t>
            </w:r>
          </w:p>
          <w:p w14:paraId="5D7586A7" w14:textId="77777777" w:rsidR="004D1AC5" w:rsidRDefault="00985F0B" w:rsidP="003A4463">
            <w:pPr>
              <w:rPr>
                <w:rFonts w:ascii="Cambria" w:hAnsi="Cambria" w:cs="Arial"/>
                <w:sz w:val="22"/>
                <w:szCs w:val="22"/>
              </w:rPr>
            </w:pPr>
            <w:hyperlink r:id="rId8" w:history="1">
              <w:r w:rsidR="004D1AC5" w:rsidRPr="00AE55E5">
                <w:rPr>
                  <w:rStyle w:val="Hyperlink"/>
                  <w:rFonts w:ascii="Cambria" w:hAnsi="Cambria" w:cs="Arial"/>
                  <w:sz w:val="22"/>
                  <w:szCs w:val="22"/>
                </w:rPr>
                <w:t>http://evolve.elsevier.com/Varcarolis</w:t>
              </w:r>
            </w:hyperlink>
          </w:p>
          <w:p w14:paraId="00BBA391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Answer key to chapter review questions</w:t>
            </w:r>
          </w:p>
          <w:p w14:paraId="397E9E8F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Answer key to critical thinking guidelines</w:t>
            </w:r>
          </w:p>
          <w:p w14:paraId="4995A639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Case Studies and nursing care plans</w:t>
            </w:r>
          </w:p>
          <w:p w14:paraId="0D16A896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NCLEX review questions</w:t>
            </w:r>
          </w:p>
          <w:p w14:paraId="394E27BB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 and post tests</w:t>
            </w:r>
          </w:p>
          <w:p w14:paraId="06571557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5DA6D5E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Kaplan Resources:</w:t>
            </w:r>
          </w:p>
          <w:p w14:paraId="37A282EB" w14:textId="77777777" w:rsidR="004D1AC5" w:rsidRDefault="00985F0B" w:rsidP="003A4463">
            <w:pPr>
              <w:rPr>
                <w:rFonts w:ascii="Cambria" w:hAnsi="Cambria" w:cs="Arial"/>
                <w:sz w:val="22"/>
                <w:szCs w:val="22"/>
              </w:rPr>
            </w:pPr>
            <w:hyperlink r:id="rId9" w:history="1">
              <w:r w:rsidR="004D1AC5" w:rsidRPr="00F46A61">
                <w:rPr>
                  <w:rStyle w:val="Hyperlink"/>
                  <w:rFonts w:ascii="Cambria" w:hAnsi="Cambria" w:cs="Arial"/>
                  <w:sz w:val="22"/>
                  <w:szCs w:val="22"/>
                </w:rPr>
                <w:t>http://nursing.kaplan.com</w:t>
              </w:r>
            </w:hyperlink>
          </w:p>
          <w:p w14:paraId="70854E0E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Focused psych review tests</w:t>
            </w:r>
          </w:p>
          <w:p w14:paraId="45106360" w14:textId="77777777" w:rsidR="004D1AC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Psychiatric case studies</w:t>
            </w:r>
          </w:p>
          <w:p w14:paraId="20C1301F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NCLEX text bank</w:t>
            </w:r>
            <w:bookmarkStart w:id="1" w:name="_GoBack"/>
            <w:bookmarkEnd w:id="1"/>
          </w:p>
          <w:p w14:paraId="2E5FCB5D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C0967CF" w14:textId="77777777" w:rsidR="004D1AC5" w:rsidRPr="00695A7E" w:rsidRDefault="004D1AC5" w:rsidP="003A4463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695A7E">
              <w:rPr>
                <w:rFonts w:ascii="Cambria" w:hAnsi="Cambria" w:cs="Arial"/>
                <w:i/>
                <w:sz w:val="22"/>
                <w:szCs w:val="22"/>
              </w:rPr>
              <w:t>NLL Audio Visuals:</w:t>
            </w:r>
          </w:p>
          <w:p w14:paraId="7FE02C70" w14:textId="77777777" w:rsidR="004D1AC5" w:rsidRPr="00817C36" w:rsidRDefault="004D1AC5" w:rsidP="003A4463">
            <w:pPr>
              <w:rPr>
                <w:sz w:val="22"/>
                <w:szCs w:val="22"/>
              </w:rPr>
            </w:pPr>
          </w:p>
          <w:p w14:paraId="5615C663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  <w:r w:rsidRPr="00817C36">
              <w:rPr>
                <w:rFonts w:ascii="Cambria" w:hAnsi="Cambria" w:cs="Arial"/>
                <w:b/>
                <w:sz w:val="22"/>
                <w:szCs w:val="22"/>
              </w:rPr>
              <w:t>DVD26</w:t>
            </w:r>
            <w:r w:rsidRPr="00AE55E5">
              <w:rPr>
                <w:rFonts w:ascii="Cambria" w:hAnsi="Cambria" w:cs="Arial"/>
                <w:sz w:val="22"/>
                <w:szCs w:val="22"/>
              </w:rPr>
              <w:t xml:space="preserve"> Assessment, Intervention, Treatment:  Psychotropic Medications</w:t>
            </w:r>
          </w:p>
          <w:p w14:paraId="1C68ADFE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6E79D92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E94E200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20AEEC80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71B39D73" w14:textId="77777777" w:rsidR="004D1AC5" w:rsidRPr="00AE55E5" w:rsidRDefault="004D1AC5" w:rsidP="003A4463">
            <w:pPr>
              <w:ind w:left="2340"/>
              <w:rPr>
                <w:rFonts w:ascii="Cambria" w:hAnsi="Cambria" w:cs="Arial"/>
                <w:sz w:val="22"/>
                <w:szCs w:val="22"/>
              </w:rPr>
            </w:pPr>
          </w:p>
          <w:p w14:paraId="12AC3267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73164300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38154FEF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24A86442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B1B090C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0736FFBC" w14:textId="77777777" w:rsidR="004D1AC5" w:rsidRPr="00AE55E5" w:rsidRDefault="004D1AC5" w:rsidP="003A4463">
            <w:pPr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3FD71D6" w14:textId="77777777" w:rsidR="004D1AC5" w:rsidRPr="00AE55E5" w:rsidRDefault="004D1AC5" w:rsidP="003A4463">
            <w:pPr>
              <w:ind w:left="2340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</w:tc>
      </w:tr>
    </w:tbl>
    <w:p w14:paraId="16FCED0C" w14:textId="77777777" w:rsidR="004D1AC5" w:rsidRDefault="004D1AC5" w:rsidP="004D1AC5">
      <w:pPr>
        <w:rPr>
          <w:rFonts w:ascii="Arial" w:hAnsi="Arial" w:cs="Arial"/>
          <w:sz w:val="22"/>
          <w:szCs w:val="22"/>
        </w:rPr>
      </w:pPr>
    </w:p>
    <w:p w14:paraId="001EABA5" w14:textId="77777777" w:rsidR="004D1AC5" w:rsidRDefault="004D1AC5" w:rsidP="004D1AC5"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33AB9AF4" w14:textId="77777777" w:rsidR="00583F35" w:rsidRDefault="00583F35"/>
    <w:sectPr w:rsidR="00583F35" w:rsidSect="009B6593">
      <w:headerReference w:type="default" r:id="rId10"/>
      <w:footerReference w:type="default" r:id="rId11"/>
      <w:pgSz w:w="15840" w:h="12240" w:orient="landscape"/>
      <w:pgMar w:top="1080" w:right="1440" w:bottom="810" w:left="1440" w:header="720" w:footer="144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2296" w14:textId="77777777" w:rsidR="00AE75F4" w:rsidRDefault="00AE75F4" w:rsidP="009B6593">
      <w:r>
        <w:separator/>
      </w:r>
    </w:p>
  </w:endnote>
  <w:endnote w:type="continuationSeparator" w:id="0">
    <w:p w14:paraId="150390B6" w14:textId="77777777" w:rsidR="00AE75F4" w:rsidRDefault="00AE75F4" w:rsidP="009B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3491" w14:textId="77777777" w:rsidR="000A6FC8" w:rsidRDefault="00AE75F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85F0B">
      <w:rPr>
        <w:noProof/>
      </w:rPr>
      <w:t>22</w:t>
    </w:r>
    <w:r>
      <w:fldChar w:fldCharType="end"/>
    </w:r>
  </w:p>
  <w:p w14:paraId="36176FE6" w14:textId="77777777" w:rsidR="000A6FC8" w:rsidRDefault="00985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5D74" w14:textId="77777777" w:rsidR="00AE75F4" w:rsidRDefault="00AE75F4" w:rsidP="009B6593">
      <w:r>
        <w:separator/>
      </w:r>
    </w:p>
  </w:footnote>
  <w:footnote w:type="continuationSeparator" w:id="0">
    <w:p w14:paraId="20684033" w14:textId="77777777" w:rsidR="00AE75F4" w:rsidRDefault="00AE75F4" w:rsidP="009B6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9832" w14:textId="77777777" w:rsidR="000A6FC8" w:rsidRDefault="00AE75F4" w:rsidP="001C329A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rFonts w:ascii="Cambria" w:hAnsi="Cambria"/>
        <w:b/>
      </w:rPr>
      <w:t>Unit I Objectives</w:t>
    </w:r>
    <w:r w:rsidRPr="004B538F">
      <w:rPr>
        <w:rFonts w:ascii="Cambria" w:hAnsi="Cambria" w:cs="Arial"/>
        <w:b/>
      </w:rPr>
      <w:tab/>
      <w:t xml:space="preserve">Theoretical Concepts and </w:t>
    </w:r>
    <w:r>
      <w:rPr>
        <w:rFonts w:ascii="Cambria" w:hAnsi="Cambria" w:cs="Arial"/>
        <w:b/>
      </w:rPr>
      <w:t xml:space="preserve">Principles of Mental Health Nursing </w:t>
    </w:r>
    <w:r>
      <w:rPr>
        <w:rFonts w:ascii="Cambria" w:hAnsi="Cambria"/>
        <w:b/>
      </w:rPr>
      <w:tab/>
      <w:t>N343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758"/>
    <w:multiLevelType w:val="hybridMultilevel"/>
    <w:tmpl w:val="7676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5"/>
    <w:rsid w:val="004D1AC5"/>
    <w:rsid w:val="00583F35"/>
    <w:rsid w:val="008759F8"/>
    <w:rsid w:val="00985F0B"/>
    <w:rsid w:val="009B6593"/>
    <w:rsid w:val="00A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A0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A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A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olve.elsevier.com/Varcarolis" TargetMode="External"/><Relationship Id="rId9" Type="http://schemas.openxmlformats.org/officeDocument/2006/relationships/hyperlink" Target="http://nursing.kaplan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1804</Words>
  <Characters>10285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Moore</dc:creator>
  <cp:keywords/>
  <dc:description/>
  <cp:lastModifiedBy>Edie Moore</cp:lastModifiedBy>
  <cp:revision>4</cp:revision>
  <dcterms:created xsi:type="dcterms:W3CDTF">2018-01-13T18:18:00Z</dcterms:created>
  <dcterms:modified xsi:type="dcterms:W3CDTF">2018-01-14T00:38:00Z</dcterms:modified>
</cp:coreProperties>
</file>